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двенадцать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месяцев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PT Astra Serif" w:hAnsi="PT Astra Serif"/>
          <w:sz w:val="28"/>
          <w:szCs w:val="28"/>
        </w:rPr>
        <w:t>1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декабря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65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человек получили областное единовременное пособие при рождении ребенка на сумму 1</w:t>
      </w:r>
      <w:r>
        <w:rPr>
          <w:rFonts w:cs="Times New Roman" w:ascii="PT Astra Serif" w:hAnsi="PT Astra Serif"/>
          <w:sz w:val="28"/>
          <w:szCs w:val="28"/>
        </w:rPr>
        <w:t>117</w:t>
      </w:r>
      <w:r>
        <w:rPr>
          <w:rFonts w:cs="Times New Roman" w:ascii="PT Astra Serif" w:hAnsi="PT Astra Serif"/>
          <w:sz w:val="28"/>
          <w:szCs w:val="28"/>
        </w:rPr>
        <w:t>,7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получили четыре семьи на общую сумму 120,0 тыс. 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За указанный период размещено 1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2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6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рекламно-информационных материала;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около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300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LibreOffice/7.0.6.2$Linux_X86_64 LibreOffice_project/00$Build-2</Application>
  <AppVersion>15.0000</AppVersion>
  <Pages>1</Pages>
  <Words>164</Words>
  <Characters>1234</Characters>
  <CharactersWithSpaces>1391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2024-12-24T08:48:29Z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